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D62E" w14:textId="0DC1A83E" w:rsidR="004F6272" w:rsidRPr="00966BE1" w:rsidRDefault="00697389">
      <w:pPr>
        <w:rPr>
          <w:b/>
          <w:bCs/>
          <w:sz w:val="36"/>
          <w:szCs w:val="36"/>
        </w:rPr>
      </w:pPr>
      <w:bookmarkStart w:id="0" w:name="_Hlk214482039"/>
      <w:r w:rsidRPr="00966BE1">
        <w:rPr>
          <w:b/>
          <w:bCs/>
          <w:sz w:val="36"/>
          <w:szCs w:val="36"/>
        </w:rPr>
        <w:t>Haringey Friends of the Earth</w:t>
      </w:r>
      <w:r w:rsidR="00C8021F" w:rsidRPr="00966BE1">
        <w:rPr>
          <w:b/>
          <w:bCs/>
          <w:sz w:val="36"/>
          <w:szCs w:val="36"/>
        </w:rPr>
        <w:t xml:space="preserve"> response </w:t>
      </w:r>
      <w:r w:rsidRPr="00966BE1">
        <w:rPr>
          <w:b/>
          <w:bCs/>
          <w:sz w:val="36"/>
          <w:szCs w:val="36"/>
        </w:rPr>
        <w:t xml:space="preserve">to the draft Haringey </w:t>
      </w:r>
      <w:r w:rsidR="00C8021F" w:rsidRPr="00966BE1">
        <w:rPr>
          <w:b/>
          <w:bCs/>
          <w:sz w:val="36"/>
          <w:szCs w:val="36"/>
        </w:rPr>
        <w:t>Local Plan</w:t>
      </w:r>
    </w:p>
    <w:p w14:paraId="446D82F4" w14:textId="135F7E1A" w:rsidR="00CD2CD3" w:rsidRPr="00CD2CD3" w:rsidRDefault="00CD2CD3">
      <w:pPr>
        <w:rPr>
          <w:b/>
          <w:bCs/>
        </w:rPr>
      </w:pPr>
      <w:r>
        <w:rPr>
          <w:b/>
          <w:bCs/>
        </w:rPr>
        <w:t>NB for ease of understanding we have colour-coded our response. Black text is our commentary, blue text is existing Draft Plan, red text is suggested new wording, green text is where we want to highlight sections of existing Plan text.</w:t>
      </w:r>
    </w:p>
    <w:p w14:paraId="7561FF95" w14:textId="6CE71B46" w:rsidR="000F4208" w:rsidRPr="00CD2CD3" w:rsidRDefault="000F4208">
      <w:pPr>
        <w:rPr>
          <w:b/>
          <w:bCs/>
        </w:rPr>
      </w:pPr>
      <w:r w:rsidRPr="00CD2CD3">
        <w:rPr>
          <w:b/>
          <w:bCs/>
        </w:rPr>
        <w:t>Vision</w:t>
      </w:r>
    </w:p>
    <w:p w14:paraId="01CD705B" w14:textId="7FC8B095" w:rsidR="00E72F27" w:rsidRPr="00CD2CD3" w:rsidRDefault="000F4208">
      <w:r w:rsidRPr="00CD2CD3">
        <w:t>We welcome the Vision, especially the Greener, Cleaner, Safer borough element of the vision, with its ambition of becoming a zero</w:t>
      </w:r>
      <w:r w:rsidR="00697389" w:rsidRPr="00CD2CD3">
        <w:t>-</w:t>
      </w:r>
      <w:r w:rsidRPr="00CD2CD3">
        <w:t>carbon borough.</w:t>
      </w:r>
      <w:r w:rsidR="00E72F27" w:rsidRPr="00CD2CD3">
        <w:t xml:space="preserve"> </w:t>
      </w:r>
      <w:r w:rsidR="00E72F27" w:rsidRPr="00CD2CD3">
        <w:t>We support the policy documents esp</w:t>
      </w:r>
      <w:r w:rsidR="00E72F27" w:rsidRPr="00CD2CD3">
        <w:t>ecially</w:t>
      </w:r>
      <w:r w:rsidR="00E72F27" w:rsidRPr="00CD2CD3">
        <w:t xml:space="preserve"> re</w:t>
      </w:r>
      <w:r w:rsidR="00E72F27" w:rsidRPr="00CD2CD3">
        <w:t>garding</w:t>
      </w:r>
      <w:r w:rsidR="00E72F27" w:rsidRPr="00CD2CD3">
        <w:t xml:space="preserve"> climate resilience and building a zero carbon Haringey, blue and green infrastructure, </w:t>
      </w:r>
      <w:r w:rsidR="00E72F27" w:rsidRPr="00CD2CD3">
        <w:t xml:space="preserve">and </w:t>
      </w:r>
      <w:r w:rsidR="00E72F27" w:rsidRPr="00CD2CD3">
        <w:t>transport</w:t>
      </w:r>
      <w:r w:rsidR="00E72F27" w:rsidRPr="00CD2CD3">
        <w:t>, with the following additions.</w:t>
      </w:r>
    </w:p>
    <w:p w14:paraId="4466FCCF" w14:textId="77777777" w:rsidR="00CA7977" w:rsidRPr="00CD2CD3" w:rsidRDefault="00CA7977">
      <w:pPr>
        <w:rPr>
          <w:b/>
          <w:bCs/>
        </w:rPr>
      </w:pPr>
      <w:r w:rsidRPr="00CD2CD3">
        <w:rPr>
          <w:b/>
          <w:bCs/>
        </w:rPr>
        <w:t>Chapter 18</w:t>
      </w:r>
    </w:p>
    <w:p w14:paraId="3B84ECE3" w14:textId="7C26ECED" w:rsidR="00CA7977" w:rsidRPr="00CD2CD3" w:rsidRDefault="00CA7977">
      <w:pPr>
        <w:rPr>
          <w:color w:val="EE0000"/>
        </w:rPr>
      </w:pPr>
      <w:r w:rsidRPr="00CD2CD3">
        <w:rPr>
          <w:color w:val="007BB8"/>
        </w:rPr>
        <w:t>Policy D6: Artificial Lighting and Managing Noise Pollution Artificial lighting A. Development proposals must mitigate and manage light pollution by ensuring that lighting is designed to minimise and control the level of illumination, glare, angle and spillage of light, particularly to protect sensitive receptors such as homes properties and natural habitats</w:t>
      </w:r>
      <w:r w:rsidRPr="00CD2CD3">
        <w:t>.</w:t>
      </w:r>
      <w:r w:rsidRPr="00CD2CD3">
        <w:t xml:space="preserve"> </w:t>
      </w:r>
      <w:r w:rsidRPr="00CD2CD3">
        <w:rPr>
          <w:color w:val="EE0000"/>
        </w:rPr>
        <w:t>There is good evidence about different frequenc</w:t>
      </w:r>
      <w:r w:rsidR="00966BE1">
        <w:rPr>
          <w:color w:val="EE0000"/>
        </w:rPr>
        <w:t>ies</w:t>
      </w:r>
      <w:r w:rsidRPr="00CD2CD3">
        <w:rPr>
          <w:color w:val="EE0000"/>
        </w:rPr>
        <w:t xml:space="preserve"> of light having different impacts</w:t>
      </w:r>
      <w:r w:rsidR="00CD2CD3" w:rsidRPr="00CD2CD3">
        <w:rPr>
          <w:color w:val="EE0000"/>
        </w:rPr>
        <w:t xml:space="preserve"> on bats, moths and other wildlife. This should be included in assessments. </w:t>
      </w:r>
    </w:p>
    <w:p w14:paraId="7A0A3B47" w14:textId="6320AB12" w:rsidR="00CD2CD3" w:rsidRPr="00CD2CD3" w:rsidRDefault="00CD2CD3" w:rsidP="00CD2CD3">
      <w:pPr>
        <w:rPr>
          <w:rFonts w:eastAsia="Times New Roman"/>
          <w:color w:val="26282A"/>
        </w:rPr>
      </w:pPr>
      <w:r w:rsidRPr="00CD2CD3">
        <w:rPr>
          <w:rFonts w:eastAsia="Times New Roman"/>
          <w:color w:val="26282A"/>
        </w:rPr>
        <w:t xml:space="preserve">Policy D11 addition </w:t>
      </w:r>
      <w:r w:rsidRPr="00CD2CD3">
        <w:rPr>
          <w:rFonts w:eastAsia="Times New Roman"/>
          <w:color w:val="EE0000"/>
        </w:rPr>
        <w:t xml:space="preserve">All homes should have access to a private garden or patio, or a balcony, or a roof terrace shared with co-residents in the block. </w:t>
      </w:r>
    </w:p>
    <w:p w14:paraId="2A588FBE" w14:textId="251226CB" w:rsidR="008A0C1B" w:rsidRPr="00CD2CD3" w:rsidRDefault="008A0C1B">
      <w:pPr>
        <w:rPr>
          <w:b/>
          <w:bCs/>
        </w:rPr>
      </w:pPr>
      <w:r w:rsidRPr="00CD2CD3">
        <w:rPr>
          <w:b/>
          <w:bCs/>
        </w:rPr>
        <w:t>Chapter 21 – Resilience</w:t>
      </w:r>
    </w:p>
    <w:p w14:paraId="56375CFF" w14:textId="0624C06F" w:rsidR="008A0C1B" w:rsidRPr="00CD2CD3" w:rsidRDefault="00697389">
      <w:r w:rsidRPr="00CD2CD3">
        <w:t xml:space="preserve">See comments below </w:t>
      </w:r>
      <w:r w:rsidR="00E72F27" w:rsidRPr="00CD2CD3">
        <w:t>on Chapter 22</w:t>
      </w:r>
      <w:r w:rsidRPr="00CD2CD3">
        <w:t xml:space="preserve">. This should also be reflected in the relevant section of CR3. </w:t>
      </w:r>
    </w:p>
    <w:p w14:paraId="365A6288" w14:textId="77777777" w:rsidR="00697389" w:rsidRPr="00697389" w:rsidRDefault="00697389" w:rsidP="00697389">
      <w:pPr>
        <w:rPr>
          <w:color w:val="007BB8"/>
        </w:rPr>
      </w:pPr>
      <w:r w:rsidRPr="00697389">
        <w:rPr>
          <w:color w:val="007BB8"/>
        </w:rPr>
        <w:t xml:space="preserve">Policy CR3: Minimising Overheating Risk in Buildings </w:t>
      </w:r>
    </w:p>
    <w:p w14:paraId="4482BD45" w14:textId="77777777" w:rsidR="00697389" w:rsidRPr="00697389" w:rsidRDefault="00697389" w:rsidP="00697389">
      <w:pPr>
        <w:rPr>
          <w:color w:val="007BB8"/>
        </w:rPr>
      </w:pPr>
      <w:r w:rsidRPr="00697389">
        <w:rPr>
          <w:b/>
          <w:bCs/>
          <w:color w:val="007BB8"/>
        </w:rPr>
        <w:t xml:space="preserve">A. Proposals must minimise overheating risk in new and existing buildings in accordance with the Haringey Cooling Hierarchy, which sets a hierarchy of highest priority measures (1) to lowest priority measures (8): </w:t>
      </w:r>
    </w:p>
    <w:p w14:paraId="34FA2154" w14:textId="77777777" w:rsidR="00697389" w:rsidRPr="00697389" w:rsidRDefault="00697389" w:rsidP="00697389">
      <w:pPr>
        <w:rPr>
          <w:color w:val="007BB8"/>
        </w:rPr>
      </w:pPr>
      <w:r w:rsidRPr="00697389">
        <w:rPr>
          <w:color w:val="007BB8"/>
        </w:rPr>
        <w:t xml:space="preserve">Haringey Cooling Hierarchy </w:t>
      </w:r>
    </w:p>
    <w:p w14:paraId="7ADD5CF1" w14:textId="77777777" w:rsidR="00697389" w:rsidRPr="00697389" w:rsidRDefault="00697389" w:rsidP="00697389">
      <w:pPr>
        <w:rPr>
          <w:color w:val="007BB8"/>
        </w:rPr>
      </w:pPr>
      <w:r w:rsidRPr="00697389">
        <w:rPr>
          <w:color w:val="007BB8"/>
        </w:rPr>
        <w:t xml:space="preserve">(1) Integrate external shading into all building openings except facades that face due north. </w:t>
      </w:r>
    </w:p>
    <w:p w14:paraId="19438A0E" w14:textId="77777777" w:rsidR="00697389" w:rsidRPr="00697389" w:rsidRDefault="00697389" w:rsidP="00697389">
      <w:pPr>
        <w:rPr>
          <w:color w:val="007BB8"/>
        </w:rPr>
      </w:pPr>
      <w:r w:rsidRPr="00697389">
        <w:rPr>
          <w:color w:val="007BB8"/>
        </w:rPr>
        <w:t xml:space="preserve">(2) Minimise the amount of heat entering a building by using passive cooling measures (including building orientation and natural ventilation). </w:t>
      </w:r>
    </w:p>
    <w:p w14:paraId="4F140258" w14:textId="77777777" w:rsidR="00697389" w:rsidRPr="00697389" w:rsidRDefault="00697389" w:rsidP="00697389">
      <w:pPr>
        <w:rPr>
          <w:color w:val="007BB8"/>
        </w:rPr>
      </w:pPr>
      <w:r w:rsidRPr="00697389">
        <w:rPr>
          <w:color w:val="007BB8"/>
        </w:rPr>
        <w:t xml:space="preserve">(3) Minimise internal heat generation through energy efficient building services design. </w:t>
      </w:r>
    </w:p>
    <w:p w14:paraId="4DAAB9D8" w14:textId="77777777" w:rsidR="00697389" w:rsidRPr="00697389" w:rsidRDefault="00697389" w:rsidP="00697389">
      <w:pPr>
        <w:rPr>
          <w:color w:val="007BB8"/>
        </w:rPr>
      </w:pPr>
      <w:r w:rsidRPr="00697389">
        <w:rPr>
          <w:color w:val="007BB8"/>
        </w:rPr>
        <w:t xml:space="preserve">(4) Prioritise natural ventilation, avoiding single aspect dwellings. </w:t>
      </w:r>
    </w:p>
    <w:p w14:paraId="29A85F13" w14:textId="77777777" w:rsidR="00697389" w:rsidRPr="00697389" w:rsidRDefault="00697389" w:rsidP="00697389">
      <w:pPr>
        <w:rPr>
          <w:color w:val="007BB8"/>
        </w:rPr>
      </w:pPr>
      <w:r w:rsidRPr="00697389">
        <w:rPr>
          <w:color w:val="007BB8"/>
        </w:rPr>
        <w:t xml:space="preserve">(5) Manage heat within the building through exposed internal thermal mass and high ceilings. </w:t>
      </w:r>
    </w:p>
    <w:p w14:paraId="3B5419F2" w14:textId="77777777" w:rsidR="00697389" w:rsidRPr="00697389" w:rsidRDefault="00697389" w:rsidP="00697389">
      <w:pPr>
        <w:rPr>
          <w:color w:val="007BB8"/>
        </w:rPr>
      </w:pPr>
      <w:r w:rsidRPr="00697389">
        <w:rPr>
          <w:color w:val="007BB8"/>
        </w:rPr>
        <w:t xml:space="preserve">(6) Provide mechanical ventilation where necessary. </w:t>
      </w:r>
    </w:p>
    <w:p w14:paraId="24741BAD" w14:textId="2C66CA2D" w:rsidR="00697389" w:rsidRPr="00697389" w:rsidRDefault="00697389" w:rsidP="00697389">
      <w:pPr>
        <w:rPr>
          <w:color w:val="EE0000"/>
        </w:rPr>
      </w:pPr>
      <w:r w:rsidRPr="00697389">
        <w:rPr>
          <w:color w:val="007BB8"/>
        </w:rPr>
        <w:t xml:space="preserve">(7) Provide active cooling only where robustly justified and it is demonstrated that the above passive measures have been prioritised. </w:t>
      </w:r>
      <w:r w:rsidRPr="00CD2CD3">
        <w:rPr>
          <w:color w:val="EE0000"/>
        </w:rPr>
        <w:t xml:space="preserve">There should </w:t>
      </w:r>
      <w:r w:rsidR="00E72F27" w:rsidRPr="00CD2CD3">
        <w:rPr>
          <w:color w:val="EE0000"/>
        </w:rPr>
        <w:t>include assessment of whether heating and cooling can be provided through the same installation.</w:t>
      </w:r>
      <w:r w:rsidR="0082438C" w:rsidRPr="00CD2CD3">
        <w:rPr>
          <w:color w:val="EE0000"/>
        </w:rPr>
        <w:t xml:space="preserve"> </w:t>
      </w:r>
      <w:r w:rsidR="0082438C" w:rsidRPr="00CD2CD3">
        <w:rPr>
          <w:color w:val="EE0000"/>
        </w:rPr>
        <w:t>Heating systems that can also provide cooling – for example, some heat pumps – will be preferred to air conditioning units. Should be weighed against separate heating and cooling systems</w:t>
      </w:r>
    </w:p>
    <w:p w14:paraId="424EA8EB" w14:textId="6DBBEA79" w:rsidR="000F4208" w:rsidRPr="00CD2CD3" w:rsidRDefault="008A0C1B">
      <w:pPr>
        <w:rPr>
          <w:b/>
          <w:bCs/>
        </w:rPr>
      </w:pPr>
      <w:r w:rsidRPr="00CD2CD3">
        <w:rPr>
          <w:b/>
          <w:bCs/>
        </w:rPr>
        <w:t xml:space="preserve">Chapter 22 </w:t>
      </w:r>
      <w:r w:rsidR="000F4208" w:rsidRPr="00CD2CD3">
        <w:rPr>
          <w:b/>
          <w:bCs/>
        </w:rPr>
        <w:t>Building a Zero Carbon Haringey</w:t>
      </w:r>
    </w:p>
    <w:p w14:paraId="391C74C8" w14:textId="2388E438" w:rsidR="000F4208" w:rsidRPr="00CD2CD3" w:rsidRDefault="000F4208">
      <w:r w:rsidRPr="00CD2CD3">
        <w:lastRenderedPageBreak/>
        <w:t>We welcome this chapter</w:t>
      </w:r>
      <w:r w:rsidR="004038FC" w:rsidRPr="00CD2CD3">
        <w:t xml:space="preserve">. We congratulate the borough on its leading role in the Delivering Net Zero evidence work and we support the recommendations from that report. </w:t>
      </w:r>
    </w:p>
    <w:p w14:paraId="295BC2F1" w14:textId="2389AB72" w:rsidR="004038FC" w:rsidRPr="00CD2CD3" w:rsidRDefault="004038FC">
      <w:r w:rsidRPr="00CD2CD3">
        <w:t>Policy ZC1:</w:t>
      </w:r>
    </w:p>
    <w:p w14:paraId="0C3A4CFA" w14:textId="175FCC0B" w:rsidR="004038FC" w:rsidRPr="00CD2CD3" w:rsidRDefault="004038FC">
      <w:r w:rsidRPr="00CD2CD3">
        <w:t xml:space="preserve">We support this policy. However we would like to see some join-up between the energy policies here, and the cooling policies in the Chapter 21 on Resilience. chapter. </w:t>
      </w:r>
      <w:r w:rsidR="00151A53" w:rsidRPr="00CD2CD3">
        <w:t>In some circumstances the best overall energy efficiency and carbon reduction may be achieved with technology that can provide both heating and cooling. This would reduce the embodied carbon in the kit required</w:t>
      </w:r>
      <w:r w:rsidR="00E72F27" w:rsidRPr="00CD2CD3">
        <w:t>, and potentially save space and money as well</w:t>
      </w:r>
      <w:r w:rsidR="00151A53" w:rsidRPr="00CD2CD3">
        <w:t xml:space="preserve">. </w:t>
      </w:r>
      <w:r w:rsidR="00151A53" w:rsidRPr="00CD2CD3">
        <w:t>This may require assessment of energy use over a whole year period.</w:t>
      </w:r>
    </w:p>
    <w:p w14:paraId="6AB413A9" w14:textId="1DD6D481" w:rsidR="00151A53" w:rsidRPr="00CD2CD3" w:rsidRDefault="00151A53">
      <w:r w:rsidRPr="00CD2CD3">
        <w:t xml:space="preserve">Given that the majority of buildings in 2040 will be those already in existence, retrofitting is essential. To drive more property owners to invest in energy efficiency, we call for a policy similar to ones already enacted by some authorities, whereby an applicant seeking planning permission for a major change, </w:t>
      </w:r>
      <w:proofErr w:type="spellStart"/>
      <w:r w:rsidRPr="00CD2CD3">
        <w:t>eg</w:t>
      </w:r>
      <w:proofErr w:type="spellEnd"/>
      <w:r w:rsidRPr="00CD2CD3">
        <w:t xml:space="preserve"> an extra storey or an addition, would be required to have an assessment of what energy efficiency changes could be made to the whole property, and to carry out those measures deemed cost-effective. </w:t>
      </w:r>
      <w:r w:rsidR="00CD2CD3" w:rsidRPr="00CD2CD3">
        <w:t xml:space="preserve">This should also be reflected in Policy D13 on extensions etc. </w:t>
      </w:r>
    </w:p>
    <w:p w14:paraId="5CFF0416" w14:textId="01F6A81B" w:rsidR="00151A53" w:rsidRPr="00CD2CD3" w:rsidRDefault="00151A53">
      <w:r w:rsidRPr="00CD2CD3">
        <w:t>So we suggest an addition in red below in ZC1 and changes in the low carbon heat hierarchy shown in red below.</w:t>
      </w:r>
    </w:p>
    <w:p w14:paraId="51D80E3F" w14:textId="77777777" w:rsidR="00151A53" w:rsidRPr="00CD2CD3" w:rsidRDefault="00151A53" w:rsidP="00CD2CD3">
      <w:pPr>
        <w:pStyle w:val="Pa3"/>
        <w:spacing w:after="220"/>
        <w:rPr>
          <w:rFonts w:ascii="Arial" w:hAnsi="Arial"/>
          <w:color w:val="0099DC"/>
        </w:rPr>
      </w:pPr>
      <w:r w:rsidRPr="00CD2CD3">
        <w:rPr>
          <w:rFonts w:ascii="Arial" w:hAnsi="Arial"/>
          <w:color w:val="0099DC"/>
        </w:rPr>
        <w:t xml:space="preserve">Policy ZC1: Achieving a Zero Carbon Balance </w:t>
      </w:r>
    </w:p>
    <w:p w14:paraId="68A75BDA" w14:textId="77777777" w:rsidR="00151A53" w:rsidRPr="00CD2CD3" w:rsidRDefault="00151A53" w:rsidP="00CD2CD3">
      <w:pPr>
        <w:pStyle w:val="Default"/>
        <w:rPr>
          <w:rFonts w:ascii="Arial" w:hAnsi="Arial" w:cs="Arial"/>
          <w:color w:val="0099DC"/>
        </w:rPr>
      </w:pPr>
      <w:r w:rsidRPr="00CD2CD3">
        <w:rPr>
          <w:rStyle w:val="A1"/>
          <w:rFonts w:ascii="Arial" w:hAnsi="Arial" w:cs="Arial"/>
          <w:b/>
          <w:bCs/>
        </w:rPr>
        <w:t xml:space="preserve">A. </w:t>
      </w:r>
      <w:r w:rsidRPr="00CD2CD3">
        <w:rPr>
          <w:rFonts w:ascii="Arial" w:hAnsi="Arial" w:cs="Arial"/>
          <w:b/>
          <w:bCs/>
          <w:color w:val="0099DC"/>
        </w:rPr>
        <w:t xml:space="preserve">All development should achieve a Zero Carbon Balance. To deliver this, proposals must: </w:t>
      </w:r>
      <w:r w:rsidRPr="00CD2CD3">
        <w:rPr>
          <w:rStyle w:val="A1"/>
          <w:rFonts w:ascii="Arial" w:hAnsi="Arial" w:cs="Arial"/>
        </w:rPr>
        <w:t xml:space="preserve">(1) </w:t>
      </w:r>
      <w:r w:rsidRPr="00CD2CD3">
        <w:rPr>
          <w:rFonts w:ascii="Arial" w:hAnsi="Arial" w:cs="Arial"/>
          <w:color w:val="0099DC"/>
        </w:rPr>
        <w:t xml:space="preserve">Minimise embodied carbon emissions in accordance with the Embodied Carbon Hierarchy set out in Policy CE2, which includes taking a ‘retrofit first approach’. </w:t>
      </w:r>
    </w:p>
    <w:p w14:paraId="777BB9A5" w14:textId="77777777" w:rsidR="00151A53" w:rsidRPr="00CD2CD3" w:rsidRDefault="00151A53" w:rsidP="00CD2CD3">
      <w:pPr>
        <w:pStyle w:val="Default"/>
        <w:rPr>
          <w:rFonts w:ascii="Arial" w:hAnsi="Arial" w:cs="Arial"/>
          <w:color w:val="0099DC"/>
        </w:rPr>
      </w:pPr>
      <w:r w:rsidRPr="00CD2CD3">
        <w:rPr>
          <w:rStyle w:val="A1"/>
          <w:rFonts w:ascii="Arial" w:hAnsi="Arial" w:cs="Arial"/>
        </w:rPr>
        <w:t xml:space="preserve">(2) </w:t>
      </w:r>
      <w:r w:rsidRPr="00CD2CD3">
        <w:rPr>
          <w:rFonts w:ascii="Arial" w:hAnsi="Arial" w:cs="Arial"/>
          <w:color w:val="0099DC"/>
        </w:rPr>
        <w:t xml:space="preserve">Minimise waste by applying the Circular Economy Principles set out in Policy CE3. </w:t>
      </w:r>
    </w:p>
    <w:p w14:paraId="608DEE05" w14:textId="77777777" w:rsidR="00151A53" w:rsidRPr="00CD2CD3" w:rsidRDefault="00151A53" w:rsidP="00CD2CD3">
      <w:pPr>
        <w:pStyle w:val="Default"/>
        <w:rPr>
          <w:rFonts w:ascii="Arial" w:hAnsi="Arial" w:cs="Arial"/>
          <w:color w:val="0099DC"/>
        </w:rPr>
      </w:pPr>
      <w:r w:rsidRPr="00CD2CD3">
        <w:rPr>
          <w:rStyle w:val="A1"/>
          <w:rFonts w:ascii="Arial" w:hAnsi="Arial" w:cs="Arial"/>
        </w:rPr>
        <w:t xml:space="preserve">(3) </w:t>
      </w:r>
      <w:r w:rsidRPr="00CD2CD3">
        <w:rPr>
          <w:rFonts w:ascii="Arial" w:hAnsi="Arial" w:cs="Arial"/>
          <w:color w:val="0099DC"/>
        </w:rPr>
        <w:t xml:space="preserve">Achieve Net Zero Operational Carbon by following the Operational Carbon Hierarchy </w:t>
      </w:r>
      <w:r w:rsidRPr="00CD2CD3">
        <w:rPr>
          <w:rStyle w:val="A1"/>
          <w:rFonts w:ascii="Arial" w:hAnsi="Arial" w:cs="Arial"/>
        </w:rPr>
        <w:t xml:space="preserve">a. </w:t>
      </w:r>
      <w:r w:rsidRPr="00CD2CD3">
        <w:rPr>
          <w:rFonts w:ascii="Arial" w:hAnsi="Arial" w:cs="Arial"/>
          <w:color w:val="0099DC"/>
        </w:rPr>
        <w:t xml:space="preserve">Be Lean - take a ‘passive design’ approach, prioritising building fabric improvements to deliver high levels of energy efficiency as required by Policy CE4 </w:t>
      </w:r>
    </w:p>
    <w:p w14:paraId="3FF1120E" w14:textId="77777777" w:rsidR="00151A53" w:rsidRPr="00CD2CD3" w:rsidRDefault="00151A53" w:rsidP="00CD2CD3">
      <w:pPr>
        <w:pStyle w:val="Default"/>
        <w:rPr>
          <w:rFonts w:ascii="Arial" w:hAnsi="Arial" w:cs="Arial"/>
          <w:color w:val="0099DC"/>
        </w:rPr>
      </w:pPr>
      <w:r w:rsidRPr="00CD2CD3">
        <w:rPr>
          <w:rStyle w:val="A1"/>
          <w:rFonts w:ascii="Arial" w:hAnsi="Arial" w:cs="Arial"/>
        </w:rPr>
        <w:t xml:space="preserve">b. </w:t>
      </w:r>
      <w:r w:rsidRPr="00CD2CD3">
        <w:rPr>
          <w:rFonts w:ascii="Arial" w:hAnsi="Arial" w:cs="Arial"/>
          <w:color w:val="0099DC"/>
        </w:rPr>
        <w:t xml:space="preserve">Be Clean - use low &amp; zero carbon infrastructure to heat, cool and power buildings as required by Policy CE5 </w:t>
      </w:r>
    </w:p>
    <w:p w14:paraId="1E4E6D91" w14:textId="77777777" w:rsidR="00151A53" w:rsidRPr="00CD2CD3" w:rsidRDefault="00151A53" w:rsidP="00CD2CD3">
      <w:pPr>
        <w:pStyle w:val="Default"/>
        <w:rPr>
          <w:rFonts w:ascii="Arial" w:hAnsi="Arial" w:cs="Arial"/>
          <w:color w:val="0099DC"/>
        </w:rPr>
      </w:pPr>
      <w:r w:rsidRPr="00CD2CD3">
        <w:rPr>
          <w:rStyle w:val="A1"/>
          <w:rFonts w:ascii="Arial" w:hAnsi="Arial" w:cs="Arial"/>
        </w:rPr>
        <w:t xml:space="preserve">c. </w:t>
      </w:r>
      <w:r w:rsidRPr="00CD2CD3">
        <w:rPr>
          <w:rFonts w:ascii="Arial" w:hAnsi="Arial" w:cs="Arial"/>
          <w:color w:val="0099DC"/>
        </w:rPr>
        <w:t xml:space="preserve">Be Green - maximise on-site renewable energy generation as required by Policy CE6 </w:t>
      </w:r>
    </w:p>
    <w:p w14:paraId="41CE1C48" w14:textId="77777777" w:rsidR="00151A53" w:rsidRPr="00CD2CD3" w:rsidRDefault="00151A53" w:rsidP="00CD2CD3">
      <w:pPr>
        <w:pStyle w:val="Default"/>
        <w:rPr>
          <w:rFonts w:ascii="Arial" w:hAnsi="Arial" w:cs="Arial"/>
          <w:color w:val="0099DC"/>
        </w:rPr>
      </w:pPr>
      <w:r w:rsidRPr="00CD2CD3">
        <w:rPr>
          <w:rStyle w:val="A1"/>
          <w:rFonts w:ascii="Arial" w:hAnsi="Arial" w:cs="Arial"/>
        </w:rPr>
        <w:t xml:space="preserve">d. </w:t>
      </w:r>
      <w:r w:rsidRPr="00CD2CD3">
        <w:rPr>
          <w:rFonts w:ascii="Arial" w:hAnsi="Arial" w:cs="Arial"/>
          <w:color w:val="0099DC"/>
        </w:rPr>
        <w:t xml:space="preserve">Be Seen - measure, monitor and report the energy performance of proposals as they are planned, built-out and in-use as required by Policy CE7 </w:t>
      </w:r>
    </w:p>
    <w:p w14:paraId="1B1FD05F" w14:textId="77777777" w:rsidR="00151A53" w:rsidRPr="00CD2CD3" w:rsidRDefault="00151A53" w:rsidP="00CD2CD3">
      <w:pPr>
        <w:pStyle w:val="Default"/>
        <w:rPr>
          <w:rFonts w:ascii="Arial" w:hAnsi="Arial" w:cs="Arial"/>
          <w:color w:val="EE0000"/>
        </w:rPr>
      </w:pPr>
      <w:r w:rsidRPr="00CD2CD3">
        <w:rPr>
          <w:rFonts w:ascii="Arial" w:hAnsi="Arial" w:cs="Arial"/>
          <w:color w:val="EE0000"/>
        </w:rPr>
        <w:t>B Any planning application to substantially change or add to an existing building should include proposals to retrofit the whole building to the highest reasonable energy efficiency rating.</w:t>
      </w:r>
    </w:p>
    <w:p w14:paraId="6FF6FF68" w14:textId="77777777" w:rsidR="00CD2CD3" w:rsidRPr="00CD2CD3" w:rsidRDefault="00CD2CD3" w:rsidP="00CD2CD3">
      <w:pPr>
        <w:pStyle w:val="Default"/>
        <w:rPr>
          <w:rFonts w:ascii="Arial" w:hAnsi="Arial" w:cs="Arial"/>
          <w:color w:val="EE0000"/>
        </w:rPr>
      </w:pPr>
    </w:p>
    <w:p w14:paraId="25A8A446" w14:textId="77777777" w:rsidR="00151A53" w:rsidRPr="00CD2CD3" w:rsidRDefault="00151A53" w:rsidP="00CD2CD3">
      <w:pPr>
        <w:autoSpaceDE w:val="0"/>
        <w:autoSpaceDN w:val="0"/>
        <w:adjustRightInd w:val="0"/>
        <w:spacing w:after="100" w:line="301" w:lineRule="atLeast"/>
        <w:rPr>
          <w:color w:val="000000"/>
          <w:kern w:val="0"/>
        </w:rPr>
      </w:pPr>
      <w:r w:rsidRPr="00CD2CD3">
        <w:rPr>
          <w:color w:val="000000"/>
          <w:kern w:val="0"/>
        </w:rPr>
        <w:t xml:space="preserve">Haringey Low Carbon Heat Hierarchy </w:t>
      </w:r>
    </w:p>
    <w:p w14:paraId="51B2DB75" w14:textId="77777777" w:rsidR="00151A53" w:rsidRPr="00CD2CD3" w:rsidRDefault="00151A53" w:rsidP="00CD2CD3">
      <w:pPr>
        <w:autoSpaceDE w:val="0"/>
        <w:autoSpaceDN w:val="0"/>
        <w:adjustRightInd w:val="0"/>
        <w:spacing w:after="0" w:line="240" w:lineRule="auto"/>
        <w:rPr>
          <w:color w:val="0099DC"/>
          <w:kern w:val="0"/>
        </w:rPr>
      </w:pPr>
      <w:r w:rsidRPr="00CD2CD3">
        <w:rPr>
          <w:color w:val="0099DC"/>
          <w:kern w:val="0"/>
        </w:rPr>
        <w:t xml:space="preserve">(1) High grade waste heat (e.g. from Energy Recovery Facilities (ERF) including Decentralised Energy Networks (DENs) or supplied by energy industry) </w:t>
      </w:r>
      <w:r w:rsidRPr="00CD2CD3">
        <w:rPr>
          <w:color w:val="EE0000"/>
          <w:kern w:val="0"/>
        </w:rPr>
        <w:t>unless heat pumps capable of providing cooling give greater overall efficiency</w:t>
      </w:r>
    </w:p>
    <w:p w14:paraId="559A0306" w14:textId="77777777" w:rsidR="00151A53" w:rsidRPr="00CD2CD3" w:rsidRDefault="00151A53" w:rsidP="00CD2CD3">
      <w:pPr>
        <w:autoSpaceDE w:val="0"/>
        <w:autoSpaceDN w:val="0"/>
        <w:adjustRightInd w:val="0"/>
        <w:spacing w:after="0" w:line="240" w:lineRule="auto"/>
        <w:rPr>
          <w:color w:val="0099DC"/>
          <w:kern w:val="0"/>
        </w:rPr>
      </w:pPr>
      <w:r w:rsidRPr="00CD2CD3">
        <w:rPr>
          <w:color w:val="0099DC"/>
          <w:kern w:val="0"/>
        </w:rPr>
        <w:t xml:space="preserve">(2) Secondary waste heat (e.g. from underground ventilation shafts, data centres, swimming pools, leisure centres, etc) </w:t>
      </w:r>
      <w:r w:rsidRPr="00CD2CD3">
        <w:rPr>
          <w:color w:val="EE0000"/>
          <w:kern w:val="0"/>
        </w:rPr>
        <w:t>unless heat pumps capable of providing cooling give greater overall efficiency</w:t>
      </w:r>
    </w:p>
    <w:p w14:paraId="1072F01F" w14:textId="77777777" w:rsidR="00151A53" w:rsidRPr="00CD2CD3" w:rsidRDefault="00151A53" w:rsidP="00CD2CD3">
      <w:pPr>
        <w:autoSpaceDE w:val="0"/>
        <w:autoSpaceDN w:val="0"/>
        <w:adjustRightInd w:val="0"/>
        <w:spacing w:after="0" w:line="240" w:lineRule="auto"/>
        <w:rPr>
          <w:color w:val="0099DC"/>
          <w:kern w:val="0"/>
        </w:rPr>
      </w:pPr>
      <w:r w:rsidRPr="00CD2CD3">
        <w:rPr>
          <w:color w:val="0099DC"/>
          <w:kern w:val="0"/>
        </w:rPr>
        <w:t xml:space="preserve">(3) Ambient heat - This should be prioritised in the following order of efficiency: Water Source Heat Pumps (WSHP), Ground Source Heat Pumps (GSHP) and Air Source Heat Pumps (AHSP), solar thermal (with or without heat pump) </w:t>
      </w:r>
      <w:r w:rsidRPr="00CD2CD3">
        <w:rPr>
          <w:color w:val="EE0000"/>
          <w:kern w:val="0"/>
        </w:rPr>
        <w:t xml:space="preserve">Heat pumps should be capable of providing cooling as well as heating to obviate or minimise need for air conditioning in future high temperatures. </w:t>
      </w:r>
    </w:p>
    <w:p w14:paraId="2472A12B" w14:textId="77777777" w:rsidR="00151A53" w:rsidRPr="00CD2CD3" w:rsidRDefault="00151A53" w:rsidP="00CD2CD3">
      <w:pPr>
        <w:autoSpaceDE w:val="0"/>
        <w:autoSpaceDN w:val="0"/>
        <w:adjustRightInd w:val="0"/>
        <w:spacing w:after="0" w:line="240" w:lineRule="auto"/>
        <w:rPr>
          <w:color w:val="0099DC"/>
          <w:kern w:val="0"/>
        </w:rPr>
      </w:pPr>
      <w:r w:rsidRPr="00CD2CD3">
        <w:rPr>
          <w:color w:val="0099DC"/>
          <w:kern w:val="0"/>
        </w:rPr>
        <w:t xml:space="preserve">(4) Gas-fired CHP – This will only be supported in strategic energy centres where there is a clear long-term plan for decarbonising the network </w:t>
      </w:r>
    </w:p>
    <w:p w14:paraId="5C9DA22C" w14:textId="77777777" w:rsidR="00151A53" w:rsidRPr="00CD2CD3" w:rsidRDefault="00151A53" w:rsidP="00CD2CD3">
      <w:pPr>
        <w:autoSpaceDE w:val="0"/>
        <w:autoSpaceDN w:val="0"/>
        <w:adjustRightInd w:val="0"/>
        <w:spacing w:after="0" w:line="240" w:lineRule="auto"/>
        <w:rPr>
          <w:color w:val="0099DC"/>
          <w:kern w:val="0"/>
        </w:rPr>
      </w:pPr>
      <w:r w:rsidRPr="00CD2CD3">
        <w:rPr>
          <w:color w:val="0099DC"/>
          <w:kern w:val="0"/>
        </w:rPr>
        <w:t xml:space="preserve">(5) Larger communal boilers – These will only be supported in strategic energy centres or as an interim solution until connection to a Decentralised Energy Network (DEN) becomes available </w:t>
      </w:r>
    </w:p>
    <w:p w14:paraId="347CC8F8" w14:textId="77777777" w:rsidR="00CD2CD3" w:rsidRPr="00CD2CD3" w:rsidRDefault="00CD2CD3" w:rsidP="00CD2CD3">
      <w:pPr>
        <w:autoSpaceDE w:val="0"/>
        <w:autoSpaceDN w:val="0"/>
        <w:adjustRightInd w:val="0"/>
        <w:spacing w:after="0" w:line="240" w:lineRule="auto"/>
        <w:rPr>
          <w:color w:val="0099DC"/>
          <w:kern w:val="0"/>
        </w:rPr>
      </w:pPr>
    </w:p>
    <w:p w14:paraId="663835B0" w14:textId="77777777" w:rsidR="008C4D47" w:rsidRPr="003561AA" w:rsidRDefault="008C4D47" w:rsidP="008C4D47">
      <w:pPr>
        <w:rPr>
          <w:b/>
          <w:bCs/>
        </w:rPr>
      </w:pPr>
      <w:r w:rsidRPr="003561AA">
        <w:rPr>
          <w:b/>
          <w:bCs/>
        </w:rPr>
        <w:lastRenderedPageBreak/>
        <w:t xml:space="preserve">Culture Policy C4: Public Art A. </w:t>
      </w:r>
    </w:p>
    <w:p w14:paraId="48040EF2" w14:textId="1F05BD39" w:rsidR="008C4D47" w:rsidRPr="00CD2CD3" w:rsidRDefault="008C4D47" w:rsidP="008C4D47">
      <w:r w:rsidRPr="00CD2CD3">
        <w:t xml:space="preserve">We recommend the addition of a line on materials to recognise that in some locations </w:t>
      </w:r>
      <w:proofErr w:type="spellStart"/>
      <w:r w:rsidRPr="00CD2CD3">
        <w:t>eg</w:t>
      </w:r>
      <w:proofErr w:type="spellEnd"/>
      <w:r w:rsidRPr="00CD2CD3">
        <w:t xml:space="preserve"> green spaces bio</w:t>
      </w:r>
      <w:r w:rsidR="00143EDB">
        <w:t>-</w:t>
      </w:r>
      <w:proofErr w:type="spellStart"/>
      <w:r w:rsidRPr="00CD2CD3">
        <w:t>degradeable</w:t>
      </w:r>
      <w:proofErr w:type="spellEnd"/>
      <w:r w:rsidRPr="00CD2CD3">
        <w:t xml:space="preserve"> materials might be preferable:</w:t>
      </w:r>
    </w:p>
    <w:p w14:paraId="78D8AB48" w14:textId="3A38FF16" w:rsidR="008C4D47" w:rsidRPr="00CD2CD3" w:rsidRDefault="008C4D47" w:rsidP="008C4D47">
      <w:r w:rsidRPr="00CD2CD3">
        <w:rPr>
          <w:color w:val="007BB8"/>
        </w:rPr>
        <w:t xml:space="preserve">The Council will support proposals for public art which: (1) are durable and robust, with a strategy for long-term maintenance </w:t>
      </w:r>
      <w:r w:rsidRPr="00CD2CD3">
        <w:rPr>
          <w:color w:val="EE0000"/>
        </w:rPr>
        <w:t>or, in suitable locations, made of bio</w:t>
      </w:r>
      <w:r w:rsidR="00143EDB">
        <w:rPr>
          <w:color w:val="EE0000"/>
        </w:rPr>
        <w:t>-</w:t>
      </w:r>
      <w:proofErr w:type="spellStart"/>
      <w:r w:rsidRPr="00CD2CD3">
        <w:rPr>
          <w:color w:val="EE0000"/>
        </w:rPr>
        <w:t>degradeable</w:t>
      </w:r>
      <w:proofErr w:type="spellEnd"/>
      <w:r w:rsidRPr="00CD2CD3">
        <w:rPr>
          <w:color w:val="EE0000"/>
        </w:rPr>
        <w:t xml:space="preserve"> materials which will blend back into the environment</w:t>
      </w:r>
      <w:r w:rsidR="00F10077" w:rsidRPr="00CD2CD3">
        <w:rPr>
          <w:color w:val="EE0000"/>
        </w:rPr>
        <w:t xml:space="preserve"> as they decay</w:t>
      </w:r>
      <w:r w:rsidRPr="00CD2CD3">
        <w:t xml:space="preserve">. </w:t>
      </w:r>
      <w:r w:rsidRPr="00CD2CD3">
        <w:rPr>
          <w:color w:val="007BB8"/>
        </w:rPr>
        <w:t>(2) do not compromise the intended use of the building or space. (3) protect and enhance local character and historic significance. (4) do not harm inclusive design outcomes. (5) are visible and able to be enjoyed from a publicly accessible location. (6) do not undermine traffic safety.</w:t>
      </w:r>
    </w:p>
    <w:p w14:paraId="6775C17F" w14:textId="636EF207" w:rsidR="00151A53" w:rsidRPr="00CD2CD3" w:rsidRDefault="00151A53">
      <w:pPr>
        <w:rPr>
          <w:b/>
          <w:bCs/>
        </w:rPr>
      </w:pPr>
      <w:r w:rsidRPr="00CD2CD3">
        <w:rPr>
          <w:b/>
          <w:bCs/>
        </w:rPr>
        <w:t>Chapter 24 Green and Blue infrastructure</w:t>
      </w:r>
    </w:p>
    <w:p w14:paraId="73FBE7A1" w14:textId="29482E8C" w:rsidR="00E72F27" w:rsidRPr="00CD2CD3" w:rsidRDefault="008A0C1B" w:rsidP="00E72F27">
      <w:pPr>
        <w:pStyle w:val="ListParagraph"/>
        <w:numPr>
          <w:ilvl w:val="0"/>
          <w:numId w:val="1"/>
        </w:numPr>
      </w:pPr>
      <w:r w:rsidRPr="00CD2CD3">
        <w:t xml:space="preserve">We welcome the inclusion of the new SINCs on the map. However it is quite hard to distinguish the sites on the map. </w:t>
      </w:r>
      <w:r w:rsidR="00E72F27" w:rsidRPr="00CD2CD3">
        <w:t>So t</w:t>
      </w:r>
      <w:r w:rsidRPr="00CD2CD3">
        <w:t>he Plan should also include a list of the existing and new SINCs. It should also include a list of the sites proposed for additional measures in the London Nature Recovery Strategy, while acknowledging that at this stage they do not have the same planning status.</w:t>
      </w:r>
      <w:r w:rsidR="00E72F27" w:rsidRPr="00CD2CD3">
        <w:t xml:space="preserve"> Ther Paddock is also due to be declared a Local Nature Reserve and this should be reflected in the Plan. </w:t>
      </w:r>
    </w:p>
    <w:p w14:paraId="15E5ACF0" w14:textId="0766E2E6" w:rsidR="00E72F27" w:rsidRPr="00CD2CD3" w:rsidRDefault="00E72F27" w:rsidP="00E72F27">
      <w:pPr>
        <w:pStyle w:val="ListParagraph"/>
        <w:numPr>
          <w:ilvl w:val="0"/>
          <w:numId w:val="1"/>
        </w:numPr>
      </w:pPr>
      <w:r w:rsidRPr="00CD2CD3">
        <w:t>In th</w:t>
      </w:r>
      <w:r w:rsidRPr="00CD2CD3">
        <w:t>is</w:t>
      </w:r>
      <w:r w:rsidRPr="00CD2CD3">
        <w:t xml:space="preserve"> chapter the only internationally designated site mentioned is Epping Forest. But we also have the Lee Valley Ramsar/SPA on our doorstep, </w:t>
      </w:r>
      <w:r w:rsidRPr="00CD2CD3">
        <w:t>which is much nearer and more relevant.</w:t>
      </w:r>
    </w:p>
    <w:p w14:paraId="5ED50E56" w14:textId="4BFF864D" w:rsidR="00E72F27" w:rsidRPr="00CD2CD3" w:rsidRDefault="00E72F27" w:rsidP="00E72F27">
      <w:pPr>
        <w:pStyle w:val="ListParagraph"/>
        <w:numPr>
          <w:ilvl w:val="0"/>
          <w:numId w:val="1"/>
        </w:numPr>
      </w:pPr>
      <w:r w:rsidRPr="00CD2CD3">
        <w:rPr>
          <w:b/>
          <w:bCs/>
        </w:rPr>
        <w:t>Pinkham Way</w:t>
      </w:r>
      <w:r w:rsidRPr="00CD2CD3">
        <w:t xml:space="preserve"> – the </w:t>
      </w:r>
      <w:r w:rsidRPr="00CD2CD3">
        <w:t xml:space="preserve">existing </w:t>
      </w:r>
      <w:r w:rsidRPr="00CD2CD3">
        <w:t xml:space="preserve">site allocation </w:t>
      </w:r>
      <w:r w:rsidRPr="00CD2CD3">
        <w:t>is still self-contradictory in designating the site as a SINC and of biodiversity importance, but also as an employment location. It is high time this anomaly was corrected by recognising the site as a site for nature, with possible amenity use, and removing its employment designation.</w:t>
      </w:r>
    </w:p>
    <w:p w14:paraId="1DD20455" w14:textId="57C6A08E" w:rsidR="008A0C1B" w:rsidRDefault="00F10077" w:rsidP="00CD2CD3">
      <w:pPr>
        <w:pStyle w:val="ListParagraph"/>
        <w:numPr>
          <w:ilvl w:val="0"/>
          <w:numId w:val="1"/>
        </w:numPr>
        <w:rPr>
          <w:b/>
          <w:bCs/>
          <w:color w:val="000000" w:themeColor="text1"/>
          <w:sz w:val="28"/>
          <w:szCs w:val="28"/>
        </w:rPr>
      </w:pPr>
      <w:r w:rsidRPr="00CD2CD3">
        <w:rPr>
          <w:b/>
          <w:bCs/>
        </w:rPr>
        <w:t>Ermine Road N15</w:t>
      </w:r>
      <w:r w:rsidRPr="00CD2CD3">
        <w:t xml:space="preserve"> – this site was previously safeguarded for Crossrail 2 works. We </w:t>
      </w:r>
      <w:r w:rsidRPr="00966BE1">
        <w:t xml:space="preserve">recommend that as a SINC it should be given more permanent safeguarding from </w:t>
      </w:r>
      <w:r w:rsidRPr="00966BE1">
        <w:rPr>
          <w:color w:val="000000" w:themeColor="text1"/>
        </w:rPr>
        <w:t>development.</w:t>
      </w:r>
      <w:r w:rsidRPr="00966BE1">
        <w:rPr>
          <w:b/>
          <w:bCs/>
          <w:color w:val="000000" w:themeColor="text1"/>
          <w:sz w:val="28"/>
          <w:szCs w:val="28"/>
        </w:rPr>
        <w:t xml:space="preserve"> </w:t>
      </w:r>
    </w:p>
    <w:p w14:paraId="3DA6F557" w14:textId="77777777" w:rsidR="00966BE1" w:rsidRPr="00966BE1" w:rsidRDefault="00966BE1" w:rsidP="00966BE1">
      <w:pPr>
        <w:pStyle w:val="ListParagraph"/>
        <w:rPr>
          <w:b/>
          <w:bCs/>
          <w:color w:val="000000" w:themeColor="text1"/>
          <w:sz w:val="28"/>
          <w:szCs w:val="28"/>
        </w:rPr>
      </w:pPr>
    </w:p>
    <w:p w14:paraId="543B3B77" w14:textId="5ABFB886" w:rsidR="00AE0B93" w:rsidRPr="00966BE1" w:rsidRDefault="0082438C" w:rsidP="00F10077">
      <w:pPr>
        <w:autoSpaceDE w:val="0"/>
        <w:autoSpaceDN w:val="0"/>
        <w:adjustRightInd w:val="0"/>
        <w:spacing w:after="0" w:line="240" w:lineRule="auto"/>
        <w:rPr>
          <w:b/>
          <w:bCs/>
          <w:color w:val="000000" w:themeColor="text1"/>
          <w:kern w:val="0"/>
          <w:sz w:val="28"/>
          <w:szCs w:val="28"/>
        </w:rPr>
      </w:pPr>
      <w:r w:rsidRPr="00966BE1">
        <w:rPr>
          <w:b/>
          <w:bCs/>
          <w:color w:val="000000" w:themeColor="text1"/>
          <w:kern w:val="0"/>
          <w:sz w:val="28"/>
          <w:szCs w:val="28"/>
        </w:rPr>
        <w:t>Neighbourhood Plans and site allocations</w:t>
      </w:r>
    </w:p>
    <w:p w14:paraId="48C9D2EA" w14:textId="77777777" w:rsidR="008C4D47" w:rsidRPr="00966BE1" w:rsidRDefault="008C4D47" w:rsidP="0082438C">
      <w:pPr>
        <w:autoSpaceDE w:val="0"/>
        <w:autoSpaceDN w:val="0"/>
        <w:adjustRightInd w:val="0"/>
        <w:spacing w:after="0" w:line="240" w:lineRule="auto"/>
        <w:ind w:left="360"/>
        <w:rPr>
          <w:b/>
          <w:bCs/>
          <w:color w:val="000000" w:themeColor="text1"/>
          <w:kern w:val="0"/>
          <w:sz w:val="28"/>
          <w:szCs w:val="28"/>
        </w:rPr>
      </w:pPr>
    </w:p>
    <w:p w14:paraId="3335188D" w14:textId="77777777" w:rsidR="00F10077" w:rsidRPr="00CD2CD3" w:rsidRDefault="00F10077" w:rsidP="00F10077">
      <w:pPr>
        <w:autoSpaceDE w:val="0"/>
        <w:autoSpaceDN w:val="0"/>
        <w:adjustRightInd w:val="0"/>
        <w:spacing w:after="0"/>
        <w:rPr>
          <w:b/>
          <w:bCs/>
          <w:color w:val="0099DC"/>
          <w:kern w:val="0"/>
        </w:rPr>
      </w:pPr>
      <w:r w:rsidRPr="00CD2CD3">
        <w:rPr>
          <w:b/>
          <w:bCs/>
          <w:color w:val="0099DC"/>
          <w:kern w:val="0"/>
        </w:rPr>
        <w:t>BG SA04 Cloud Garden</w:t>
      </w:r>
    </w:p>
    <w:p w14:paraId="46873869" w14:textId="0A78E396" w:rsidR="00F10077" w:rsidRPr="00CD2CD3" w:rsidRDefault="00F10077" w:rsidP="00F10077">
      <w:pPr>
        <w:autoSpaceDE w:val="0"/>
        <w:autoSpaceDN w:val="0"/>
        <w:adjustRightInd w:val="0"/>
        <w:spacing w:after="0"/>
        <w:rPr>
          <w:color w:val="EE0000"/>
          <w:kern w:val="0"/>
        </w:rPr>
      </w:pPr>
      <w:r w:rsidRPr="00CD2CD3">
        <w:rPr>
          <w:color w:val="EE0000"/>
          <w:kern w:val="0"/>
        </w:rPr>
        <w:t xml:space="preserve">We welcome recognition of the site as </w:t>
      </w:r>
      <w:r w:rsidRPr="00CD2CD3">
        <w:rPr>
          <w:color w:val="EE0000"/>
          <w:kern w:val="0"/>
        </w:rPr>
        <w:t>Public open space</w:t>
      </w:r>
      <w:r w:rsidRPr="00CD2CD3">
        <w:rPr>
          <w:color w:val="EE0000"/>
          <w:kern w:val="0"/>
        </w:rPr>
        <w:t>. But the site should be considered along with the house is Tottenham’s only EH Blue Plaque and which has long stood derelict. The Council should CPO both sites, provide housing – and a Luke Howard heritage display - in the house and a small area of the garden, and the rest – at least 80% - of the land should be designated public open space managed for heritage and biodiversity.</w:t>
      </w:r>
      <w:r w:rsidRPr="00CD2CD3">
        <w:t xml:space="preserve"> </w:t>
      </w:r>
      <w:r w:rsidRPr="00CD2CD3">
        <w:rPr>
          <w:color w:val="EE0000"/>
        </w:rPr>
        <w:t>The site should be joined up with neighbouring land to create a more viable habitat space.</w:t>
      </w:r>
    </w:p>
    <w:p w14:paraId="1C9697BF" w14:textId="0FE38178" w:rsidR="008047D0" w:rsidRPr="00CD2CD3" w:rsidRDefault="008047D0" w:rsidP="008047D0">
      <w:pPr>
        <w:pStyle w:val="ListParagraph"/>
        <w:autoSpaceDE w:val="0"/>
        <w:autoSpaceDN w:val="0"/>
        <w:adjustRightInd w:val="0"/>
        <w:spacing w:after="0" w:line="240" w:lineRule="auto"/>
        <w:rPr>
          <w:color w:val="0099DC"/>
          <w:kern w:val="0"/>
        </w:rPr>
      </w:pPr>
    </w:p>
    <w:p w14:paraId="41F6057B" w14:textId="77777777" w:rsidR="004F2B92" w:rsidRPr="00CD2CD3" w:rsidRDefault="004F2B92" w:rsidP="004F2B92">
      <w:pPr>
        <w:rPr>
          <w:b/>
          <w:bCs/>
        </w:rPr>
      </w:pPr>
      <w:r w:rsidRPr="00CD2CD3">
        <w:rPr>
          <w:b/>
          <w:bCs/>
        </w:rPr>
        <w:t>HY SA01 Hornsey Filter Beds</w:t>
      </w:r>
    </w:p>
    <w:p w14:paraId="2047285B" w14:textId="77777777" w:rsidR="00BC200A" w:rsidRPr="00CD2CD3" w:rsidRDefault="00BC200A" w:rsidP="00BC200A">
      <w:pPr>
        <w:rPr>
          <w:b/>
          <w:bCs/>
          <w:color w:val="EE0000"/>
        </w:rPr>
      </w:pPr>
      <w:r w:rsidRPr="00CD2CD3">
        <w:rPr>
          <w:color w:val="EE0000"/>
        </w:rPr>
        <w:t>Hornsey Waterworks - the site allocation reflects the conflict between biodiversity and green space on the one hand, and new housing on the other. The site should be designated solely as a green space.</w:t>
      </w:r>
    </w:p>
    <w:p w14:paraId="114086C0" w14:textId="61ACEC67" w:rsidR="004F2B92" w:rsidRPr="00CD2CD3" w:rsidRDefault="004F2B92" w:rsidP="004F2B92">
      <w:pPr>
        <w:rPr>
          <w:b/>
          <w:bCs/>
        </w:rPr>
      </w:pPr>
      <w:r w:rsidRPr="00CD2CD3">
        <w:rPr>
          <w:b/>
          <w:bCs/>
        </w:rPr>
        <w:t>Built form, character and heritage </w:t>
      </w:r>
    </w:p>
    <w:p w14:paraId="737E383B" w14:textId="77777777" w:rsidR="004F2B92" w:rsidRPr="00CD2CD3" w:rsidRDefault="004F2B92" w:rsidP="004F2B92">
      <w:pPr>
        <w:numPr>
          <w:ilvl w:val="0"/>
          <w:numId w:val="3"/>
        </w:numPr>
      </w:pPr>
      <w:r w:rsidRPr="00CD2CD3">
        <w:t>Development should be respectful of the site’s location within a Conservation Area, and the nearby Grade II listed Alexandra Palace.</w:t>
      </w:r>
    </w:p>
    <w:p w14:paraId="4C403062" w14:textId="77777777" w:rsidR="004F2B92" w:rsidRPr="00CD2CD3" w:rsidRDefault="004F2B92" w:rsidP="004F2B92">
      <w:pPr>
        <w:numPr>
          <w:ilvl w:val="0"/>
          <w:numId w:val="3"/>
        </w:numPr>
      </w:pPr>
      <w:r w:rsidRPr="00CD2CD3">
        <w:lastRenderedPageBreak/>
        <w:t>The significance of the locally listed Hornsey Reservoir, and the site’s contribution to the Hornsey Water Works and Filter Beds Conservation Area should be a primary consideration in determining the form of development.</w:t>
      </w:r>
    </w:p>
    <w:p w14:paraId="558D10AB" w14:textId="77777777" w:rsidR="004F2B92" w:rsidRPr="00CD2CD3" w:rsidRDefault="004F2B92" w:rsidP="004F2B92">
      <w:pPr>
        <w:numPr>
          <w:ilvl w:val="0"/>
          <w:numId w:val="3"/>
        </w:numPr>
      </w:pPr>
      <w:r w:rsidRPr="00CD2CD3">
        <w:t>Development should enhance and strengthen the legibility and association with the historic New River and its infrastructure.</w:t>
      </w:r>
    </w:p>
    <w:p w14:paraId="1FC54DA2" w14:textId="77777777" w:rsidR="004F2B92" w:rsidRPr="00CD2CD3" w:rsidRDefault="004F2B92" w:rsidP="004F2B92">
      <w:pPr>
        <w:numPr>
          <w:ilvl w:val="0"/>
          <w:numId w:val="3"/>
        </w:numPr>
      </w:pPr>
      <w:r w:rsidRPr="00CD2CD3">
        <w:t>The site sits on the edge of an Archaeological Priority Area and investigation may be necessary before and/or during building works </w:t>
      </w:r>
    </w:p>
    <w:p w14:paraId="6C439A1D" w14:textId="29BC0815" w:rsidR="0082438C" w:rsidRPr="00CD2CD3" w:rsidRDefault="004F2B92" w:rsidP="0082438C">
      <w:pPr>
        <w:pStyle w:val="ListParagraph"/>
        <w:numPr>
          <w:ilvl w:val="0"/>
          <w:numId w:val="1"/>
        </w:numPr>
      </w:pPr>
      <w:r w:rsidRPr="00CD2CD3">
        <w:t xml:space="preserve">Residential development should facilitate the restoration of industrial heritage with the aim of securing the conservation area’s removal from Historic England’s Heritage at Risk register. </w:t>
      </w:r>
      <w:r w:rsidRPr="00CD2CD3">
        <w:rPr>
          <w:color w:val="005E00"/>
        </w:rPr>
        <w:t>The scale of development should relate to the priority to preserve and enhance the site’s most important heritage features which include the remaining square filter beds.</w:t>
      </w:r>
      <w:r w:rsidR="0082438C" w:rsidRPr="00CD2CD3">
        <w:rPr>
          <w:color w:val="005E00"/>
        </w:rPr>
        <w:t xml:space="preserve"> </w:t>
      </w:r>
    </w:p>
    <w:p w14:paraId="42F1A55E" w14:textId="141FFD24" w:rsidR="004F2B92" w:rsidRPr="00CD2CD3" w:rsidRDefault="004F2B92" w:rsidP="004F2B92">
      <w:pPr>
        <w:numPr>
          <w:ilvl w:val="0"/>
          <w:numId w:val="3"/>
        </w:numPr>
        <w:rPr>
          <w:color w:val="EE0000"/>
        </w:rPr>
      </w:pPr>
      <w:r w:rsidRPr="00CD2CD3">
        <w:rPr>
          <w:color w:val="EE0000"/>
        </w:rPr>
        <w:t xml:space="preserve">The filter beds have great biodiversity potential and should be retained </w:t>
      </w:r>
      <w:r w:rsidR="00CA7977" w:rsidRPr="00CD2CD3">
        <w:rPr>
          <w:color w:val="EE0000"/>
        </w:rPr>
        <w:t xml:space="preserve">in full </w:t>
      </w:r>
      <w:r w:rsidRPr="00CD2CD3">
        <w:rPr>
          <w:color w:val="EE0000"/>
        </w:rPr>
        <w:t>and enhanced for nature and amenity.</w:t>
      </w:r>
    </w:p>
    <w:p w14:paraId="075A81AB" w14:textId="77777777" w:rsidR="004F2B92" w:rsidRPr="00CD2CD3" w:rsidRDefault="004F2B92" w:rsidP="004F2B92">
      <w:pPr>
        <w:numPr>
          <w:ilvl w:val="0"/>
          <w:numId w:val="3"/>
        </w:numPr>
      </w:pPr>
      <w:r w:rsidRPr="00CD2CD3">
        <w:t>Any development proposal must consider significant siting issues, the potential loss of landscape features/archaeology which contribute positively to the character of the Conservation Area, and the need to demonstrate considerable public benefit   </w:t>
      </w:r>
    </w:p>
    <w:p w14:paraId="362D377E" w14:textId="77777777" w:rsidR="004F2B92" w:rsidRPr="00CD2CD3" w:rsidRDefault="004F2B92" w:rsidP="004F2B92">
      <w:pPr>
        <w:numPr>
          <w:ilvl w:val="0"/>
          <w:numId w:val="3"/>
        </w:numPr>
      </w:pPr>
      <w:r w:rsidRPr="00CD2CD3">
        <w:t>An assessment of the site’s significance is essential to be able to fully assess the current significance and the impact of proposed development</w:t>
      </w:r>
    </w:p>
    <w:p w14:paraId="7FB6A35A" w14:textId="77777777" w:rsidR="004F2B92" w:rsidRPr="00CD2CD3" w:rsidRDefault="004F2B92" w:rsidP="004F2B92">
      <w:pPr>
        <w:numPr>
          <w:ilvl w:val="0"/>
          <w:numId w:val="3"/>
        </w:numPr>
      </w:pPr>
      <w:r w:rsidRPr="00CD2CD3">
        <w:t>Due to this site’s location near Alexandra Palace, both tall and taller development will not be suitable. Heights should provide an appropriate interface between the Alexandra Palace Park, the Reservoir, and New River Village.</w:t>
      </w:r>
    </w:p>
    <w:p w14:paraId="1CA5B7F2" w14:textId="77777777" w:rsidR="004F2B92" w:rsidRPr="00CD2CD3" w:rsidRDefault="004F2B92" w:rsidP="004F2B92">
      <w:pPr>
        <w:numPr>
          <w:ilvl w:val="0"/>
          <w:numId w:val="3"/>
        </w:numPr>
      </w:pPr>
      <w:r w:rsidRPr="00CD2CD3">
        <w:t>Appropriate separation must be secured between the remaining operational infrastructure and new homes</w:t>
      </w:r>
    </w:p>
    <w:p w14:paraId="0B675D41" w14:textId="77777777" w:rsidR="004F2B92" w:rsidRPr="00CD2CD3" w:rsidRDefault="004F2B92" w:rsidP="004F2B92">
      <w:pPr>
        <w:rPr>
          <w:b/>
          <w:bCs/>
        </w:rPr>
      </w:pPr>
      <w:r w:rsidRPr="00CD2CD3">
        <w:rPr>
          <w:b/>
          <w:bCs/>
        </w:rPr>
        <w:t>Environment and Sustainability </w:t>
      </w:r>
    </w:p>
    <w:p w14:paraId="177144F5" w14:textId="77777777" w:rsidR="004F2B92" w:rsidRPr="00CD2CD3" w:rsidRDefault="004F2B92" w:rsidP="004F2B92">
      <w:pPr>
        <w:numPr>
          <w:ilvl w:val="0"/>
          <w:numId w:val="5"/>
        </w:numPr>
      </w:pPr>
      <w:r w:rsidRPr="00CD2CD3">
        <w:t>The site is partially within Flood Zone 2 and Flood Zone 3 (Fluvial and Surface Water). It is also within a Critical Drainage Area. A Flood Risk Assessment should accompany any planning application.</w:t>
      </w:r>
    </w:p>
    <w:p w14:paraId="6F6F2346" w14:textId="77777777" w:rsidR="004F2B92" w:rsidRPr="00CD2CD3" w:rsidRDefault="004F2B92" w:rsidP="004F2B92">
      <w:pPr>
        <w:numPr>
          <w:ilvl w:val="0"/>
          <w:numId w:val="5"/>
        </w:numPr>
        <w:rPr>
          <w:color w:val="005E00"/>
        </w:rPr>
      </w:pPr>
      <w:r w:rsidRPr="00CD2CD3">
        <w:t xml:space="preserve">This site is a previously developed site within Metropolitan Open Land. Its partial redevelopment offers a unique opportunity to improve connections between Wood Green and Alexandra Palace and Park, </w:t>
      </w:r>
      <w:r w:rsidRPr="00CD2CD3">
        <w:rPr>
          <w:color w:val="005E00"/>
        </w:rPr>
        <w:t>and deliver an expanded new wetlands environment to give significant biodiversity enhancements to this area which will benefit the Local Nature Reserve at Alexandra Palace</w:t>
      </w:r>
    </w:p>
    <w:p w14:paraId="15A91E15" w14:textId="77777777" w:rsidR="004F2B92" w:rsidRPr="00CD2CD3" w:rsidRDefault="004F2B92" w:rsidP="004F2B92">
      <w:pPr>
        <w:numPr>
          <w:ilvl w:val="0"/>
          <w:numId w:val="5"/>
        </w:numPr>
      </w:pPr>
      <w:r w:rsidRPr="00CD2CD3">
        <w:t>New public access to nature should be provided </w:t>
      </w:r>
    </w:p>
    <w:p w14:paraId="13F3C39A" w14:textId="4E13D146" w:rsidR="004F2B92" w:rsidRPr="00CD2CD3" w:rsidRDefault="004F2B92" w:rsidP="004F2B92">
      <w:pPr>
        <w:numPr>
          <w:ilvl w:val="0"/>
          <w:numId w:val="5"/>
        </w:numPr>
      </w:pPr>
      <w:r w:rsidRPr="00CD2CD3">
        <w:t>The northern edge of this site should complement the SINC designation of the reservoir to the north including its parkland.</w:t>
      </w:r>
    </w:p>
    <w:p w14:paraId="09A3B8B9" w14:textId="77777777" w:rsidR="004F2B92" w:rsidRPr="00CD2CD3" w:rsidRDefault="004F2B92" w:rsidP="004F2B92">
      <w:pPr>
        <w:numPr>
          <w:ilvl w:val="0"/>
          <w:numId w:val="5"/>
        </w:numPr>
      </w:pPr>
      <w:r w:rsidRPr="00CD2CD3">
        <w:t>An adequate buffer will be required to the New River </w:t>
      </w:r>
    </w:p>
    <w:p w14:paraId="68F25983" w14:textId="77777777" w:rsidR="004F2B92" w:rsidRPr="00CD2CD3" w:rsidRDefault="004F2B92" w:rsidP="004F2B92">
      <w:pPr>
        <w:numPr>
          <w:ilvl w:val="0"/>
          <w:numId w:val="5"/>
        </w:numPr>
      </w:pPr>
      <w:r w:rsidRPr="00CD2CD3">
        <w:t>The habitats and species within the adjacent Local Nature Reserve should be protected and enhanced</w:t>
      </w:r>
    </w:p>
    <w:p w14:paraId="3460DB4B" w14:textId="77777777" w:rsidR="004F2B92" w:rsidRPr="00CD2CD3" w:rsidRDefault="004F2B92" w:rsidP="004F2B92">
      <w:pPr>
        <w:numPr>
          <w:ilvl w:val="0"/>
          <w:numId w:val="5"/>
        </w:numPr>
      </w:pPr>
      <w:r w:rsidRPr="00CD2CD3">
        <w:t>The site lies in a Source Protection Zone. Development proposals will be required to assess the impact on the groundwater environment and incorporate appropriate mitigating measures.</w:t>
      </w:r>
    </w:p>
    <w:p w14:paraId="75688BBC" w14:textId="77777777" w:rsidR="004F2B92" w:rsidRPr="00CD2CD3" w:rsidRDefault="004F2B92" w:rsidP="00BC200A">
      <w:pPr>
        <w:shd w:val="clear" w:color="auto" w:fill="FAFAFA"/>
        <w:spacing w:before="100" w:beforeAutospacing="1" w:after="100" w:afterAutospacing="1" w:line="240" w:lineRule="auto"/>
        <w:outlineLvl w:val="0"/>
        <w:rPr>
          <w:rFonts w:eastAsia="Times New Roman"/>
          <w:b/>
          <w:bCs/>
          <w:color w:val="333333"/>
          <w:spacing w:val="2"/>
          <w:kern w:val="36"/>
          <w:lang w:eastAsia="en-GB"/>
          <w14:ligatures w14:val="none"/>
        </w:rPr>
      </w:pPr>
      <w:r w:rsidRPr="00CD2CD3">
        <w:rPr>
          <w:rFonts w:eastAsia="Times New Roman"/>
          <w:b/>
          <w:bCs/>
          <w:color w:val="333333"/>
          <w:spacing w:val="2"/>
          <w:kern w:val="36"/>
          <w:lang w:eastAsia="en-GB"/>
          <w14:ligatures w14:val="none"/>
        </w:rPr>
        <w:t>TH SA07 Former Garage Site</w:t>
      </w:r>
    </w:p>
    <w:p w14:paraId="15DD6DBC" w14:textId="77777777" w:rsidR="004F2B92" w:rsidRPr="00CD2CD3" w:rsidRDefault="004F2B92" w:rsidP="004F2B92">
      <w:r w:rsidRPr="00CD2CD3">
        <w:rPr>
          <w:b/>
          <w:bCs/>
        </w:rPr>
        <w:lastRenderedPageBreak/>
        <w:t xml:space="preserve">Built form, character and heritage </w:t>
      </w:r>
    </w:p>
    <w:p w14:paraId="644DE55B" w14:textId="338E9401" w:rsidR="004F2B92" w:rsidRPr="00CD2CD3" w:rsidRDefault="004F2B92" w:rsidP="00EA364B">
      <w:pPr>
        <w:rPr>
          <w:color w:val="EE0000"/>
        </w:rPr>
      </w:pPr>
      <w:r w:rsidRPr="00CD2CD3">
        <w:rPr>
          <w:color w:val="EE0000"/>
        </w:rPr>
        <w:t>Buildings should be no more than 3 storeys high to prevent overshadowing and visual intrusion into the adjacent Local Nature Reserve.</w:t>
      </w:r>
    </w:p>
    <w:p w14:paraId="1C8FCBE9" w14:textId="41513989" w:rsidR="00F10077" w:rsidRPr="00CD2CD3" w:rsidRDefault="00F10077" w:rsidP="00F10077">
      <w:pPr>
        <w:rPr>
          <w:b/>
          <w:bCs/>
        </w:rPr>
      </w:pPr>
      <w:r w:rsidRPr="00CD2CD3">
        <w:rPr>
          <w:b/>
          <w:bCs/>
        </w:rPr>
        <w:t>SS SA03 Tottenham Green Leisure Centre and Marcus Garvey Library</w:t>
      </w:r>
    </w:p>
    <w:p w14:paraId="233BDFC5" w14:textId="4F6E321C" w:rsidR="004F2B92" w:rsidRPr="00CD2CD3" w:rsidRDefault="00F10077" w:rsidP="008C4D47">
      <w:pPr>
        <w:rPr>
          <w:color w:val="EE0000"/>
        </w:rPr>
      </w:pPr>
      <w:r w:rsidRPr="00CD2CD3">
        <w:rPr>
          <w:color w:val="EE0000"/>
        </w:rPr>
        <w:t>There should be no net loss of green space or mature trees.</w:t>
      </w:r>
    </w:p>
    <w:p w14:paraId="58769216" w14:textId="77777777" w:rsidR="00CA7977" w:rsidRPr="00CA7977" w:rsidRDefault="00CA7977" w:rsidP="00CA7977">
      <w:pPr>
        <w:rPr>
          <w:b/>
          <w:bCs/>
        </w:rPr>
      </w:pPr>
      <w:r w:rsidRPr="00CA7977">
        <w:rPr>
          <w:b/>
          <w:bCs/>
        </w:rPr>
        <w:t>SS SA04 Gourley Triangle</w:t>
      </w:r>
    </w:p>
    <w:p w14:paraId="4CD5AFCE" w14:textId="12DE946B" w:rsidR="00CA7977" w:rsidRPr="00CA7977" w:rsidRDefault="00CA7977" w:rsidP="00CA7977">
      <w:pPr>
        <w:rPr>
          <w:color w:val="EE0000"/>
        </w:rPr>
      </w:pPr>
      <w:r w:rsidRPr="00CA7977">
        <w:t>There should be early engagement with Network Rail and Transport for London to address impacts on adjacent rail infrastructure, and the opportunity to create a cycle lane along Seven Sisters Road.</w:t>
      </w:r>
      <w:r w:rsidRPr="00CD2CD3">
        <w:t xml:space="preserve"> </w:t>
      </w:r>
      <w:r w:rsidRPr="00CD2CD3">
        <w:rPr>
          <w:color w:val="EE0000"/>
        </w:rPr>
        <w:t>A</w:t>
      </w:r>
      <w:r w:rsidRPr="00CD2CD3">
        <w:t xml:space="preserve"> </w:t>
      </w:r>
      <w:r w:rsidRPr="00CD2CD3">
        <w:rPr>
          <w:color w:val="EE0000"/>
        </w:rPr>
        <w:t>decent cycle lane along Seven Sisters Road is long overdue. By using a strip of land along the front of the development area it should be possible to create enough width to have a pedestrian and cycle route along this stretch. If it can be done on a much narrower road like Forest Road E17 it must be possible here.</w:t>
      </w:r>
    </w:p>
    <w:p w14:paraId="24871426" w14:textId="77777777" w:rsidR="000B3EA8" w:rsidRPr="00CD2CD3" w:rsidRDefault="000B3EA8" w:rsidP="00EA364B"/>
    <w:bookmarkEnd w:id="0"/>
    <w:p w14:paraId="6BD1FB14" w14:textId="6CBFE9CA" w:rsidR="00270D10" w:rsidRPr="00CD2CD3" w:rsidRDefault="00270D10" w:rsidP="008C4D47"/>
    <w:sectPr w:rsidR="00270D10" w:rsidRPr="00CD2CD3" w:rsidSect="00CD2C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ffra">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2FE"/>
    <w:multiLevelType w:val="multilevel"/>
    <w:tmpl w:val="B790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96D9C"/>
    <w:multiLevelType w:val="multilevel"/>
    <w:tmpl w:val="80F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E3FE9"/>
    <w:multiLevelType w:val="hybridMultilevel"/>
    <w:tmpl w:val="4D60D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9CE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E9678EB"/>
    <w:multiLevelType w:val="multilevel"/>
    <w:tmpl w:val="3802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E5451"/>
    <w:multiLevelType w:val="multilevel"/>
    <w:tmpl w:val="D9F87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916CE"/>
    <w:multiLevelType w:val="multilevel"/>
    <w:tmpl w:val="4520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32211"/>
    <w:multiLevelType w:val="hybridMultilevel"/>
    <w:tmpl w:val="37F4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155623">
    <w:abstractNumId w:val="7"/>
  </w:num>
  <w:num w:numId="2" w16cid:durableId="456141019">
    <w:abstractNumId w:val="2"/>
  </w:num>
  <w:num w:numId="3" w16cid:durableId="1089080929">
    <w:abstractNumId w:val="1"/>
  </w:num>
  <w:num w:numId="4" w16cid:durableId="1653021123">
    <w:abstractNumId w:val="6"/>
  </w:num>
  <w:num w:numId="5" w16cid:durableId="942957143">
    <w:abstractNumId w:val="0"/>
  </w:num>
  <w:num w:numId="6" w16cid:durableId="978607304">
    <w:abstractNumId w:val="3"/>
  </w:num>
  <w:num w:numId="7" w16cid:durableId="742027383">
    <w:abstractNumId w:val="5"/>
  </w:num>
  <w:num w:numId="8" w16cid:durableId="1391688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1F"/>
    <w:rsid w:val="000B3EA8"/>
    <w:rsid w:val="000F4208"/>
    <w:rsid w:val="00143EDB"/>
    <w:rsid w:val="00151A53"/>
    <w:rsid w:val="0019257B"/>
    <w:rsid w:val="001A750F"/>
    <w:rsid w:val="0026507E"/>
    <w:rsid w:val="00270026"/>
    <w:rsid w:val="00270D10"/>
    <w:rsid w:val="002B69C3"/>
    <w:rsid w:val="003561AA"/>
    <w:rsid w:val="003755C4"/>
    <w:rsid w:val="003C1DBA"/>
    <w:rsid w:val="003C42A6"/>
    <w:rsid w:val="003D11E9"/>
    <w:rsid w:val="004038FC"/>
    <w:rsid w:val="004A6716"/>
    <w:rsid w:val="004B4659"/>
    <w:rsid w:val="004D586C"/>
    <w:rsid w:val="004F2B92"/>
    <w:rsid w:val="004F6272"/>
    <w:rsid w:val="005161C9"/>
    <w:rsid w:val="005573A8"/>
    <w:rsid w:val="005D13BE"/>
    <w:rsid w:val="0061760C"/>
    <w:rsid w:val="00697389"/>
    <w:rsid w:val="006C7B65"/>
    <w:rsid w:val="00741CBE"/>
    <w:rsid w:val="00766AA1"/>
    <w:rsid w:val="0078041D"/>
    <w:rsid w:val="007C4930"/>
    <w:rsid w:val="007D1D63"/>
    <w:rsid w:val="008047D0"/>
    <w:rsid w:val="0082438C"/>
    <w:rsid w:val="00847AB1"/>
    <w:rsid w:val="00862105"/>
    <w:rsid w:val="008A0C1B"/>
    <w:rsid w:val="008C4D47"/>
    <w:rsid w:val="0092390F"/>
    <w:rsid w:val="00940BC6"/>
    <w:rsid w:val="0095453A"/>
    <w:rsid w:val="00966BE1"/>
    <w:rsid w:val="00990A4F"/>
    <w:rsid w:val="009B51BE"/>
    <w:rsid w:val="00A22D4D"/>
    <w:rsid w:val="00A97A25"/>
    <w:rsid w:val="00AE0B93"/>
    <w:rsid w:val="00B01070"/>
    <w:rsid w:val="00B036DF"/>
    <w:rsid w:val="00B567CA"/>
    <w:rsid w:val="00BC200A"/>
    <w:rsid w:val="00C8021F"/>
    <w:rsid w:val="00CA7977"/>
    <w:rsid w:val="00CD2CD3"/>
    <w:rsid w:val="00D86444"/>
    <w:rsid w:val="00E25BEC"/>
    <w:rsid w:val="00E54986"/>
    <w:rsid w:val="00E72F27"/>
    <w:rsid w:val="00EA364B"/>
    <w:rsid w:val="00EB2CBC"/>
    <w:rsid w:val="00F10077"/>
    <w:rsid w:val="00F75CDD"/>
    <w:rsid w:val="00F94D1C"/>
    <w:rsid w:val="00FE1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339C"/>
  <w15:chartTrackingRefBased/>
  <w15:docId w15:val="{5411314C-CB86-46EE-9641-977DDD37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0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02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02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02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02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02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02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02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0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02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02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02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02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02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02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02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0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2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2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021F"/>
    <w:pPr>
      <w:spacing w:before="160"/>
      <w:jc w:val="center"/>
    </w:pPr>
    <w:rPr>
      <w:i/>
      <w:iCs/>
      <w:color w:val="404040" w:themeColor="text1" w:themeTint="BF"/>
    </w:rPr>
  </w:style>
  <w:style w:type="character" w:customStyle="1" w:styleId="QuoteChar">
    <w:name w:val="Quote Char"/>
    <w:basedOn w:val="DefaultParagraphFont"/>
    <w:link w:val="Quote"/>
    <w:uiPriority w:val="29"/>
    <w:rsid w:val="00C8021F"/>
    <w:rPr>
      <w:i/>
      <w:iCs/>
      <w:color w:val="404040" w:themeColor="text1" w:themeTint="BF"/>
    </w:rPr>
  </w:style>
  <w:style w:type="paragraph" w:styleId="ListParagraph">
    <w:name w:val="List Paragraph"/>
    <w:basedOn w:val="Normal"/>
    <w:uiPriority w:val="34"/>
    <w:qFormat/>
    <w:rsid w:val="00C8021F"/>
    <w:pPr>
      <w:ind w:left="720"/>
      <w:contextualSpacing/>
    </w:pPr>
  </w:style>
  <w:style w:type="character" w:styleId="IntenseEmphasis">
    <w:name w:val="Intense Emphasis"/>
    <w:basedOn w:val="DefaultParagraphFont"/>
    <w:uiPriority w:val="21"/>
    <w:qFormat/>
    <w:rsid w:val="00C8021F"/>
    <w:rPr>
      <w:i/>
      <w:iCs/>
      <w:color w:val="2F5496" w:themeColor="accent1" w:themeShade="BF"/>
    </w:rPr>
  </w:style>
  <w:style w:type="paragraph" w:styleId="IntenseQuote">
    <w:name w:val="Intense Quote"/>
    <w:basedOn w:val="Normal"/>
    <w:next w:val="Normal"/>
    <w:link w:val="IntenseQuoteChar"/>
    <w:uiPriority w:val="30"/>
    <w:qFormat/>
    <w:rsid w:val="00C80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21F"/>
    <w:rPr>
      <w:i/>
      <w:iCs/>
      <w:color w:val="2F5496" w:themeColor="accent1" w:themeShade="BF"/>
    </w:rPr>
  </w:style>
  <w:style w:type="character" w:styleId="IntenseReference">
    <w:name w:val="Intense Reference"/>
    <w:basedOn w:val="DefaultParagraphFont"/>
    <w:uiPriority w:val="32"/>
    <w:qFormat/>
    <w:rsid w:val="00C8021F"/>
    <w:rPr>
      <w:b/>
      <w:bCs/>
      <w:smallCaps/>
      <w:color w:val="2F5496" w:themeColor="accent1" w:themeShade="BF"/>
      <w:spacing w:val="5"/>
    </w:rPr>
  </w:style>
  <w:style w:type="paragraph" w:customStyle="1" w:styleId="Default">
    <w:name w:val="Default"/>
    <w:rsid w:val="00AE0B93"/>
    <w:pPr>
      <w:autoSpaceDE w:val="0"/>
      <w:autoSpaceDN w:val="0"/>
      <w:adjustRightInd w:val="0"/>
      <w:spacing w:after="0" w:line="240" w:lineRule="auto"/>
    </w:pPr>
    <w:rPr>
      <w:rFonts w:ascii="Effra" w:hAnsi="Effra" w:cs="Effra"/>
      <w:color w:val="000000"/>
      <w:kern w:val="0"/>
    </w:rPr>
  </w:style>
  <w:style w:type="paragraph" w:customStyle="1" w:styleId="Pa3">
    <w:name w:val="Pa3"/>
    <w:basedOn w:val="Default"/>
    <w:next w:val="Default"/>
    <w:uiPriority w:val="99"/>
    <w:rsid w:val="00AE0B93"/>
    <w:pPr>
      <w:spacing w:line="381" w:lineRule="atLeast"/>
    </w:pPr>
    <w:rPr>
      <w:rFonts w:cs="Arial"/>
      <w:color w:val="auto"/>
    </w:rPr>
  </w:style>
  <w:style w:type="character" w:customStyle="1" w:styleId="A1">
    <w:name w:val="A1"/>
    <w:uiPriority w:val="99"/>
    <w:rsid w:val="00AE0B93"/>
    <w:rPr>
      <w:rFonts w:cs="Effra"/>
      <w:color w:val="0099DC"/>
    </w:rPr>
  </w:style>
  <w:style w:type="paragraph" w:customStyle="1" w:styleId="Pa32">
    <w:name w:val="Pa32"/>
    <w:basedOn w:val="Default"/>
    <w:next w:val="Default"/>
    <w:uiPriority w:val="99"/>
    <w:rsid w:val="00AE0B93"/>
    <w:pPr>
      <w:spacing w:line="381" w:lineRule="atLeast"/>
    </w:pPr>
    <w:rPr>
      <w:rFonts w:cs="Arial"/>
      <w:color w:val="auto"/>
    </w:rPr>
  </w:style>
  <w:style w:type="paragraph" w:customStyle="1" w:styleId="Pa24">
    <w:name w:val="Pa24"/>
    <w:basedOn w:val="Default"/>
    <w:next w:val="Default"/>
    <w:uiPriority w:val="99"/>
    <w:rsid w:val="00AE0B93"/>
    <w:pPr>
      <w:spacing w:line="301" w:lineRule="atLeast"/>
    </w:pPr>
    <w:rPr>
      <w:rFonts w:cs="Arial"/>
      <w:color w:val="auto"/>
    </w:rPr>
  </w:style>
  <w:style w:type="paragraph" w:customStyle="1" w:styleId="Pa33">
    <w:name w:val="Pa33"/>
    <w:basedOn w:val="Default"/>
    <w:next w:val="Default"/>
    <w:uiPriority w:val="99"/>
    <w:rsid w:val="00AE0B93"/>
    <w:pPr>
      <w:spacing w:line="241" w:lineRule="atLeast"/>
    </w:pPr>
    <w:rPr>
      <w:rFonts w:cs="Arial"/>
      <w:color w:val="auto"/>
    </w:rPr>
  </w:style>
  <w:style w:type="paragraph" w:customStyle="1" w:styleId="Pa17">
    <w:name w:val="Pa17"/>
    <w:basedOn w:val="Default"/>
    <w:next w:val="Default"/>
    <w:uiPriority w:val="99"/>
    <w:rsid w:val="004D586C"/>
    <w:pPr>
      <w:spacing w:line="381" w:lineRule="atLeast"/>
    </w:pPr>
    <w:rPr>
      <w:rFonts w:cs="Arial"/>
      <w:color w:val="auto"/>
    </w:rPr>
  </w:style>
  <w:style w:type="paragraph" w:customStyle="1" w:styleId="Pa13">
    <w:name w:val="Pa13"/>
    <w:basedOn w:val="Default"/>
    <w:next w:val="Default"/>
    <w:uiPriority w:val="99"/>
    <w:rsid w:val="004D586C"/>
    <w:pPr>
      <w:spacing w:line="301" w:lineRule="atLeast"/>
    </w:pPr>
    <w:rPr>
      <w:rFonts w:cs="Arial"/>
      <w:color w:val="auto"/>
    </w:rPr>
  </w:style>
  <w:style w:type="paragraph" w:customStyle="1" w:styleId="Pa7">
    <w:name w:val="Pa7"/>
    <w:basedOn w:val="Default"/>
    <w:next w:val="Default"/>
    <w:uiPriority w:val="99"/>
    <w:rsid w:val="004D586C"/>
    <w:pPr>
      <w:spacing w:line="241" w:lineRule="atLeast"/>
    </w:pPr>
    <w:rPr>
      <w:rFonts w:cs="Arial"/>
      <w:color w:val="auto"/>
    </w:rPr>
  </w:style>
  <w:style w:type="paragraph" w:customStyle="1" w:styleId="Pa26">
    <w:name w:val="Pa26"/>
    <w:basedOn w:val="Default"/>
    <w:next w:val="Default"/>
    <w:uiPriority w:val="99"/>
    <w:rsid w:val="00FE1421"/>
    <w:pPr>
      <w:spacing w:line="281" w:lineRule="atLeast"/>
    </w:pPr>
    <w:rPr>
      <w:rFonts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59139-7C87-4C51-985A-34CB61B6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Quentin Given</dc:creator>
  <cp:keywords/>
  <dc:description/>
  <cp:lastModifiedBy>Quentin Given</cp:lastModifiedBy>
  <cp:revision>4</cp:revision>
  <dcterms:created xsi:type="dcterms:W3CDTF">2025-12-15T11:13:00Z</dcterms:created>
  <dcterms:modified xsi:type="dcterms:W3CDTF">2025-12-15T12:49:00Z</dcterms:modified>
</cp:coreProperties>
</file>